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17" w:rsidRPr="009140C4" w:rsidRDefault="00327A17" w:rsidP="00327A17">
      <w:pPr>
        <w:autoSpaceDE w:val="0"/>
        <w:adjustRightInd w:val="0"/>
        <w:spacing w:line="277" w:lineRule="auto"/>
        <w:jc w:val="center"/>
        <w:rPr>
          <w:b/>
          <w:color w:val="000000"/>
        </w:rPr>
      </w:pPr>
      <w:r>
        <w:rPr>
          <w:noProof/>
          <w:lang w:eastAsia="pl-PL"/>
        </w:rPr>
        <w:drawing>
          <wp:inline distT="0" distB="0" distL="0" distR="0" wp14:anchorId="7691DD3A" wp14:editId="54E0F3C1">
            <wp:extent cx="5762625" cy="11430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1CD" w:rsidRDefault="00F741CD" w:rsidP="00F741CD">
      <w:pPr>
        <w:pStyle w:val="NormalnyWeb"/>
        <w:spacing w:before="0" w:beforeAutospacing="0" w:line="276" w:lineRule="auto"/>
        <w:jc w:val="center"/>
        <w:rPr>
          <w:bCs/>
          <w:iCs/>
          <w:sz w:val="20"/>
          <w:lang w:val="pl-PL"/>
        </w:rPr>
      </w:pPr>
      <w:r>
        <w:rPr>
          <w:sz w:val="18"/>
          <w:szCs w:val="18"/>
          <w:lang w:val="pl-PL" w:eastAsia="pl-PL"/>
        </w:rPr>
        <w:t xml:space="preserve">Zamówienie dotyczy projektu: „Wspólny rozwój dostępnej i stałej opieki zdrowotnej dla pacjentów starszych i niepełnosprawnych szpitali w Białymstoku i Wołyniu” w ramach Programu </w:t>
      </w:r>
      <w:proofErr w:type="spellStart"/>
      <w:r>
        <w:rPr>
          <w:sz w:val="18"/>
          <w:szCs w:val="18"/>
          <w:lang w:val="pl-PL" w:eastAsia="pl-PL"/>
        </w:rPr>
        <w:t>Interreg</w:t>
      </w:r>
      <w:proofErr w:type="spellEnd"/>
      <w:r>
        <w:rPr>
          <w:sz w:val="18"/>
          <w:szCs w:val="18"/>
          <w:lang w:val="pl-PL" w:eastAsia="pl-PL"/>
        </w:rPr>
        <w:t xml:space="preserve"> NEXT Polska-Ukraina 2021-2027 </w:t>
      </w:r>
      <w:r>
        <w:rPr>
          <w:sz w:val="20"/>
          <w:lang w:val="pl-PL" w:eastAsia="pl-PL"/>
        </w:rPr>
        <w:t>(</w:t>
      </w:r>
      <w:r>
        <w:rPr>
          <w:color w:val="000000"/>
          <w:sz w:val="20"/>
        </w:rPr>
        <w:t>PLUA.02.01-IP.01-0003/24</w:t>
      </w:r>
      <w:r>
        <w:rPr>
          <w:sz w:val="20"/>
          <w:lang w:val="pl-PL" w:eastAsia="pl-PL"/>
        </w:rPr>
        <w:t>)</w:t>
      </w:r>
    </w:p>
    <w:p w:rsidR="00327A17" w:rsidRPr="00104042" w:rsidRDefault="00327A17" w:rsidP="00327A17">
      <w:pPr>
        <w:spacing w:line="280" w:lineRule="exact"/>
        <w:jc w:val="right"/>
        <w:rPr>
          <w:rFonts w:ascii="Times New Roman" w:hAnsi="Times New Roman" w:cs="Times New Roman"/>
          <w:b/>
          <w:color w:val="FF0000"/>
          <w:sz w:val="20"/>
          <w:szCs w:val="20"/>
        </w:rPr>
      </w:pPr>
      <w:bookmarkStart w:id="0" w:name="_GoBack"/>
      <w:bookmarkEnd w:id="0"/>
      <w:r w:rsidRPr="00104042">
        <w:rPr>
          <w:rFonts w:ascii="Times New Roman" w:hAnsi="Times New Roman" w:cs="Times New Roman"/>
          <w:b/>
          <w:sz w:val="20"/>
          <w:szCs w:val="20"/>
        </w:rPr>
        <w:t>Załącznik nr 2.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Pr="00104042">
        <w:rPr>
          <w:rFonts w:ascii="Times New Roman" w:hAnsi="Times New Roman" w:cs="Times New Roman"/>
          <w:b/>
          <w:sz w:val="20"/>
          <w:szCs w:val="20"/>
        </w:rPr>
        <w:t xml:space="preserve"> do SWZ - Formularz asortymentowo - cenowy</w:t>
      </w:r>
    </w:p>
    <w:p w:rsidR="00327A17" w:rsidRPr="00104042" w:rsidRDefault="00327A17" w:rsidP="00327A17">
      <w:pPr>
        <w:spacing w:line="280" w:lineRule="exact"/>
        <w:jc w:val="right"/>
        <w:rPr>
          <w:rFonts w:ascii="Times New Roman" w:eastAsia="Andale Sans UI" w:hAnsi="Times New Roman" w:cs="Times New Roman"/>
          <w:sz w:val="20"/>
          <w:szCs w:val="20"/>
          <w:lang w:bidi="en-US"/>
        </w:rPr>
      </w:pPr>
      <w:r w:rsidRPr="00104042">
        <w:rPr>
          <w:rFonts w:ascii="Times New Roman" w:eastAsia="Andale Sans UI" w:hAnsi="Times New Roman" w:cs="Times New Roman"/>
          <w:sz w:val="20"/>
          <w:szCs w:val="20"/>
          <w:lang w:bidi="en-US"/>
        </w:rPr>
        <w:t>oznaczenie postępowania: DA.ZP.242.</w:t>
      </w:r>
      <w:r>
        <w:rPr>
          <w:rFonts w:ascii="Times New Roman" w:eastAsia="Andale Sans UI" w:hAnsi="Times New Roman" w:cs="Times New Roman"/>
          <w:sz w:val="20"/>
          <w:szCs w:val="20"/>
          <w:lang w:bidi="en-US"/>
        </w:rPr>
        <w:t>9</w:t>
      </w:r>
      <w:r w:rsidRPr="00104042">
        <w:rPr>
          <w:rFonts w:ascii="Times New Roman" w:eastAsia="Andale Sans UI" w:hAnsi="Times New Roman" w:cs="Times New Roman"/>
          <w:sz w:val="20"/>
          <w:szCs w:val="20"/>
          <w:lang w:bidi="en-US"/>
        </w:rPr>
        <w:t>.202</w:t>
      </w:r>
      <w:r>
        <w:rPr>
          <w:rFonts w:ascii="Times New Roman" w:eastAsia="Andale Sans UI" w:hAnsi="Times New Roman" w:cs="Times New Roman"/>
          <w:sz w:val="20"/>
          <w:szCs w:val="20"/>
          <w:lang w:bidi="en-US"/>
        </w:rPr>
        <w:t>6</w:t>
      </w:r>
    </w:p>
    <w:p w:rsidR="00327A17" w:rsidRPr="00104042" w:rsidRDefault="00327A17" w:rsidP="00327A17">
      <w:pPr>
        <w:tabs>
          <w:tab w:val="right" w:pos="10773"/>
        </w:tabs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27A17" w:rsidRPr="00104042" w:rsidRDefault="00327A17" w:rsidP="00327A17">
      <w:pPr>
        <w:tabs>
          <w:tab w:val="right" w:pos="10773"/>
        </w:tabs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04042">
        <w:rPr>
          <w:rFonts w:ascii="Times New Roman" w:hAnsi="Times New Roman" w:cs="Times New Roman"/>
          <w:b/>
          <w:sz w:val="20"/>
          <w:szCs w:val="20"/>
        </w:rPr>
        <w:t xml:space="preserve">Pakiet nr  </w:t>
      </w:r>
      <w:r>
        <w:rPr>
          <w:rFonts w:ascii="Times New Roman" w:hAnsi="Times New Roman" w:cs="Times New Roman"/>
          <w:b/>
          <w:sz w:val="20"/>
          <w:szCs w:val="20"/>
        </w:rPr>
        <w:t>2</w:t>
      </w:r>
    </w:p>
    <w:p w:rsidR="00327A17" w:rsidRPr="00104042" w:rsidRDefault="00327A17" w:rsidP="00327A17">
      <w:pPr>
        <w:spacing w:line="280" w:lineRule="exact"/>
        <w:rPr>
          <w:rFonts w:ascii="Times New Roman" w:hAnsi="Times New Roman" w:cs="Times New Roman"/>
          <w:b/>
          <w:sz w:val="20"/>
          <w:szCs w:val="20"/>
        </w:rPr>
      </w:pPr>
      <w:r w:rsidRPr="00104042">
        <w:rPr>
          <w:rFonts w:ascii="Times New Roman" w:hAnsi="Times New Roman" w:cs="Times New Roman"/>
          <w:b/>
          <w:sz w:val="20"/>
          <w:szCs w:val="20"/>
        </w:rPr>
        <w:t xml:space="preserve">CZĘŚĆ I   - Szczegółowa Oferta Cenowa </w:t>
      </w:r>
    </w:p>
    <w:p w:rsidR="00327A17" w:rsidRPr="00104042" w:rsidRDefault="00327A17" w:rsidP="00327A17">
      <w:pPr>
        <w:tabs>
          <w:tab w:val="right" w:pos="10773"/>
        </w:tabs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601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"/>
        <w:gridCol w:w="5644"/>
        <w:gridCol w:w="1417"/>
        <w:gridCol w:w="1843"/>
        <w:gridCol w:w="1843"/>
        <w:gridCol w:w="1275"/>
        <w:gridCol w:w="1843"/>
      </w:tblGrid>
      <w:tr w:rsidR="00327A17" w:rsidRPr="00104042" w:rsidTr="00E10200">
        <w:trPr>
          <w:trHeight w:val="76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Ilość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Cena jednostkowa netto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netto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>VAT (%)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brutto </w:t>
            </w:r>
          </w:p>
        </w:tc>
      </w:tr>
      <w:tr w:rsidR="00327A17" w:rsidRPr="00104042" w:rsidTr="00E10200">
        <w:trPr>
          <w:trHeight w:val="1089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A17" w:rsidRPr="00327A17" w:rsidRDefault="00327A17" w:rsidP="00E10200">
            <w:pPr>
              <w:spacing w:line="2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7A1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Holter</w:t>
            </w:r>
            <w:proofErr w:type="spellEnd"/>
            <w:r w:rsidRPr="00327A1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EKG z oprogramowaniem, drukarką i laptopem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kpl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A17" w:rsidRPr="00104042" w:rsidTr="00E10200">
        <w:trPr>
          <w:trHeight w:val="1089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A17" w:rsidRPr="00327A17" w:rsidRDefault="00327A17" w:rsidP="00327A17">
            <w:pPr>
              <w:pStyle w:val="Standard"/>
              <w:spacing w:line="36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proofErr w:type="spellStart"/>
            <w:r w:rsidRPr="00327A1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Holter</w:t>
            </w:r>
            <w:proofErr w:type="spellEnd"/>
            <w:r w:rsidRPr="00327A1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 xml:space="preserve"> RR </w:t>
            </w:r>
          </w:p>
          <w:p w:rsidR="00327A17" w:rsidRPr="00327A17" w:rsidRDefault="00327A17" w:rsidP="00E10200">
            <w:pPr>
              <w:spacing w:line="280" w:lineRule="exact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A17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szt.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A17" w:rsidRPr="00104042" w:rsidTr="00E10200">
        <w:trPr>
          <w:trHeight w:val="76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sz w:val="20"/>
                <w:szCs w:val="20"/>
              </w:rPr>
              <w:t>Cena ofertowa  (wartość brutto należy przenieś do formularza ogólnego - załącznik nr 1 do SWZ)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7A17" w:rsidRPr="00104042" w:rsidRDefault="00327A17" w:rsidP="00E10200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27A17" w:rsidRPr="00104042" w:rsidRDefault="00327A17" w:rsidP="00327A17">
      <w:pPr>
        <w:tabs>
          <w:tab w:val="right" w:pos="10773"/>
        </w:tabs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27A17" w:rsidRPr="00104042" w:rsidRDefault="00327A17" w:rsidP="00327A17">
      <w:pPr>
        <w:tabs>
          <w:tab w:val="right" w:pos="10773"/>
        </w:tabs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27A17" w:rsidRPr="00104042" w:rsidRDefault="00327A17" w:rsidP="00327A17">
      <w:pPr>
        <w:tabs>
          <w:tab w:val="right" w:pos="10773"/>
        </w:tabs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27A17" w:rsidRPr="00327A17" w:rsidRDefault="00327A17" w:rsidP="00327A17">
      <w:pPr>
        <w:spacing w:line="280" w:lineRule="exact"/>
        <w:rPr>
          <w:rFonts w:ascii="Times New Roman" w:hAnsi="Times New Roman" w:cs="Times New Roman"/>
          <w:b/>
          <w:sz w:val="20"/>
          <w:szCs w:val="20"/>
        </w:rPr>
      </w:pPr>
      <w:r w:rsidRPr="00327A17">
        <w:rPr>
          <w:rFonts w:ascii="Times New Roman" w:hAnsi="Times New Roman" w:cs="Times New Roman"/>
          <w:b/>
          <w:sz w:val="20"/>
          <w:szCs w:val="20"/>
        </w:rPr>
        <w:lastRenderedPageBreak/>
        <w:t>CZĘŚĆ II   -  Opis parametrów</w:t>
      </w:r>
    </w:p>
    <w:p w:rsidR="00327A17" w:rsidRPr="00327A17" w:rsidRDefault="00327A17" w:rsidP="00327A17">
      <w:pPr>
        <w:spacing w:line="280" w:lineRule="exact"/>
        <w:rPr>
          <w:rFonts w:ascii="Times New Roman" w:hAnsi="Times New Roman" w:cs="Times New Roman"/>
          <w:b/>
          <w:sz w:val="20"/>
          <w:szCs w:val="20"/>
        </w:rPr>
      </w:pPr>
    </w:p>
    <w:p w:rsidR="00327A17" w:rsidRPr="00327A17" w:rsidRDefault="00327A17" w:rsidP="00327A17">
      <w:pPr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7A17">
        <w:rPr>
          <w:rFonts w:ascii="Times New Roman" w:hAnsi="Times New Roman" w:cs="Times New Roman"/>
          <w:b/>
          <w:sz w:val="20"/>
          <w:szCs w:val="20"/>
        </w:rPr>
        <w:t xml:space="preserve">Poz. 1 - </w:t>
      </w:r>
      <w:proofErr w:type="spellStart"/>
      <w:r w:rsidRPr="00327A17">
        <w:rPr>
          <w:rFonts w:ascii="Times New Roman" w:hAnsi="Times New Roman" w:cs="Times New Roman"/>
          <w:b/>
          <w:sz w:val="20"/>
          <w:szCs w:val="20"/>
        </w:rPr>
        <w:t>Holter</w:t>
      </w:r>
      <w:proofErr w:type="spellEnd"/>
      <w:r w:rsidRPr="00327A17">
        <w:rPr>
          <w:rFonts w:ascii="Times New Roman" w:hAnsi="Times New Roman" w:cs="Times New Roman"/>
          <w:b/>
          <w:sz w:val="20"/>
          <w:szCs w:val="20"/>
        </w:rPr>
        <w:t xml:space="preserve"> EKG z oprogramowaniem, drukarką i laptopem (1 </w:t>
      </w:r>
      <w:proofErr w:type="spellStart"/>
      <w:r w:rsidRPr="00327A17">
        <w:rPr>
          <w:rFonts w:ascii="Times New Roman" w:hAnsi="Times New Roman" w:cs="Times New Roman"/>
          <w:b/>
          <w:sz w:val="20"/>
          <w:szCs w:val="20"/>
        </w:rPr>
        <w:t>kpl</w:t>
      </w:r>
      <w:proofErr w:type="spellEnd"/>
      <w:r w:rsidRPr="00327A17">
        <w:rPr>
          <w:rFonts w:ascii="Times New Roman" w:hAnsi="Times New Roman" w:cs="Times New Roman"/>
          <w:b/>
          <w:sz w:val="20"/>
          <w:szCs w:val="20"/>
        </w:rPr>
        <w:t>.)</w:t>
      </w:r>
    </w:p>
    <w:p w:rsidR="00327A17" w:rsidRPr="00327A17" w:rsidRDefault="00327A17" w:rsidP="00327A17">
      <w:pPr>
        <w:pStyle w:val="Standard"/>
        <w:spacing w:line="28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49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5394"/>
        <w:gridCol w:w="2551"/>
        <w:gridCol w:w="6206"/>
      </w:tblGrid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tabs>
                <w:tab w:val="left" w:pos="360"/>
              </w:tabs>
              <w:spacing w:line="28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oferowany: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należy opisać/ podać</w:t>
            </w: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tabs>
                <w:tab w:val="left" w:pos="360"/>
              </w:tabs>
              <w:spacing w:line="28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w:rsidR="00327A17" w:rsidRPr="00327A17" w:rsidTr="00E10200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327A1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Holter</w:t>
            </w:r>
            <w:proofErr w:type="spellEnd"/>
            <w:r w:rsidRPr="00327A1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EKG z oprogramowaniem, drukarką i laptopem 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</w:rPr>
              <w:t>Oferowany typ/model:……………………………………………………………………..</w:t>
            </w:r>
            <w:r w:rsidRPr="00327A1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Producent:……………………………………………………………………………….....</w:t>
            </w:r>
          </w:p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</w:rPr>
              <w:t>Rok produkcji: ……………………………………………………………………………… ( nie starszy niż 2025r.)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27A17" w:rsidRPr="00327A17" w:rsidTr="00E10200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3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Kompletny rejestrator holterowski EKG 3, 12 odprowadzeniowy z możliwością wymiany kabli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 xml:space="preserve"> </w:t>
            </w:r>
            <w:r w:rsidRPr="00327A17">
              <w:rPr>
                <w:rFonts w:ascii="Times New Roman" w:hAnsi="Times New Roman" w:cs="Times New Roman"/>
                <w:sz w:val="20"/>
                <w:szCs w:val="20"/>
              </w:rPr>
              <w:t>tj. gotowy do eksploatacji (bez żadnych dodatkowych inwestycji ze strony Zamawiającego).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Podgląd przebiegu EKG w trybie komunikacji bezprzewodowej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Zapis na kartę micro SDHC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Detekcja odpiętej elektrody w trybie konfiguracji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Rejestracja sygnału EKG przez okres 24 h, 48h lub 7 dni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Kolorowy wyświetlacz, oraz menu wyświetlane na ekranie umożliwiające obsługę za pomocą klawiatury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Wymiary:</w:t>
            </w:r>
            <w:r w:rsidRPr="00327A17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eastAsia="zh-CN" w:bidi="hi-IN"/>
              </w:rPr>
              <w:t xml:space="preserve"> </w:t>
            </w: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76 x 72 x 23 mm  (+/- 5mm)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Możliwość podglądu danych pacjenta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paragraph"/>
              <w:spacing w:before="0" w:after="0"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S</w:t>
            </w: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ygnalizacja uszkodzonej karty micro SDHC, wyczerpanej baterii, INOP</w:t>
            </w:r>
          </w:p>
          <w:p w:rsidR="00327A17" w:rsidRPr="00327A17" w:rsidRDefault="00327A17" w:rsidP="00327A17">
            <w:pPr>
              <w:pStyle w:val="paragraph"/>
              <w:spacing w:before="0" w:after="0"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T</w:t>
            </w: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rójkolorowa dioda i sygnalizacja dźwiękowa informująca o stanie rejestratora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Opcje zmiany parametrów :</w:t>
            </w:r>
          </w:p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 xml:space="preserve">tryb wyświetlania grup, tryb wyświetlania pojedynczych </w:t>
            </w:r>
            <w:proofErr w:type="spellStart"/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odprowadzeń</w:t>
            </w:r>
            <w:proofErr w:type="spellEnd"/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, typ badania (24-godzinne, 48-godzinne, 7-dniowe), data i godzina, tryb online (możliwość podłączenia bezprzewodowego ), język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Możliwość dołączenia imienia i nazwiska pacjenta do zapisu przebiegu EKG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Możliwość uruchomienia rejestracji poprzez komunikację bezprzewodową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Możliwość drukowania całego sygnału EKG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Automatyczne drukowanie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Możliwość analizy retrospektywnej i prospektywnej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Analiza arytmii pochodzenia komorowego i nadkomorowego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Prezentacja wyników w formie trendów w tym trójwymiarowe trendy ST i HRV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Analiza pracy rozrusznika serca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Bezprzewodowa transmisja danych umożliwiająca podgląd zapisu EKG w czasie rzeczywistym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Wybieranie do druku przez użytkownika wstęgi EKG wraz z ich etykietami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 xml:space="preserve">Możliwość wykrywania, przeglądania, tworzenia ilościowych raportów w zakresie oceny: VE, S`SVE, P`SVT, Pauz, IRR VT, IVR, </w:t>
            </w:r>
            <w:proofErr w:type="spellStart"/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Tachy</w:t>
            </w:r>
            <w:proofErr w:type="spellEnd"/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 xml:space="preserve">, </w:t>
            </w:r>
            <w:proofErr w:type="spellStart"/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Brady</w:t>
            </w:r>
            <w:proofErr w:type="spellEnd"/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, Salwa, Bigeminia, Trigeminia, Pary, R na T, uniesienia i obniżenia ST. Epizody ST, Max, Min, oraz Średni Rytm Serca, procentowy udział artefaktów w zapisie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 xml:space="preserve">Edytor klasy umożliwiający łatwą edycję wszystkich </w:t>
            </w:r>
            <w:proofErr w:type="spellStart"/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pobudzeń</w:t>
            </w:r>
            <w:proofErr w:type="spellEnd"/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 xml:space="preserve"> komorowych i nadkomorowych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Tabelaryczna prezentacja danych liczbowych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Możliwość drukowania raportów badań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bidi="hi-I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bidi="hi-IN"/>
              </w:rPr>
              <w:t>Niezależna analiza ST każdego kanału EKG dla wybranych przez użytkownika punktów odniesienia ST, punktu J oraz linii bazowej R-R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Uruchomienie rejestracji przez przycisk zdarzeń lub automatycznie po 10 minutach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Funkcje oszczędności energii baterii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Rejestracja dwóch rodzajów zdarzeń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bidi="hi-I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bidi="hi-IN"/>
              </w:rPr>
              <w:t xml:space="preserve">Filtr izolinii 0,05 </w:t>
            </w:r>
            <w:proofErr w:type="spellStart"/>
            <w:r w:rsidRPr="00327A17">
              <w:rPr>
                <w:rFonts w:ascii="Times New Roman" w:hAnsi="Times New Roman" w:cs="Times New Roman"/>
                <w:sz w:val="20"/>
                <w:szCs w:val="20"/>
                <w:lang w:bidi="hi-IN"/>
              </w:rPr>
              <w:t>Hz</w:t>
            </w:r>
            <w:proofErr w:type="spellEnd"/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Częstotliwość próbkowania: 2000 próbek/kanał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bidi="hi-I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bidi="hi-IN"/>
              </w:rPr>
              <w:t>Zasilanie: 1 bateria AA lub akumulator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  <w:r w:rsidRPr="00327A17"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  <w:t>Oprogramowanie do analizy współpracujące z rejestratorem.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</w:rPr>
              <w:t xml:space="preserve">Każdy aparat wyposażony w: etui na aparat, kable EKG (do każdego typu </w:t>
            </w:r>
            <w:proofErr w:type="spellStart"/>
            <w:r w:rsidRPr="00327A17">
              <w:rPr>
                <w:rFonts w:ascii="Times New Roman" w:hAnsi="Times New Roman" w:cs="Times New Roman"/>
                <w:sz w:val="20"/>
                <w:szCs w:val="20"/>
              </w:rPr>
              <w:t>odprowadzeń</w:t>
            </w:r>
            <w:proofErr w:type="spellEnd"/>
            <w:r w:rsidRPr="00327A17">
              <w:rPr>
                <w:rFonts w:ascii="Times New Roman" w:hAnsi="Times New Roman" w:cs="Times New Roman"/>
                <w:sz w:val="20"/>
                <w:szCs w:val="20"/>
              </w:rPr>
              <w:t>), bateria zasilająca, karta pamięci,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eastAsia="Verdana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eastAsia="Verdana" w:hAnsi="Times New Roman" w:cs="Times New Roman"/>
                <w:sz w:val="20"/>
                <w:szCs w:val="20"/>
              </w:rPr>
              <w:t>Certyfikat MDR.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eastAsia="Verdana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</w:rPr>
              <w:t>Instrukcja obsługi rejestratora w języku polskim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</w:rPr>
              <w:t>Na wyposażeniu laptop z drukarką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</w:rPr>
              <w:t>Urządzenie z ekranem min. 15,6 cala o rozdzielczości 1920 × 1080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</w:rPr>
              <w:t>Min. 8 GB pamięci RAM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</w:rPr>
              <w:t>Dysk SSD o pojemności min. 512 GB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</w:rPr>
              <w:t>Urządzenie wyposażone w system operacyjny pozwalający obsłużyć dedykowane oprogramowanie do analizy współpracujące z rejestratorem.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327A17" w:rsidRDefault="00327A17" w:rsidP="00327A17">
      <w:pPr>
        <w:pStyle w:val="Standard"/>
        <w:spacing w:line="280" w:lineRule="exact"/>
        <w:rPr>
          <w:rFonts w:ascii="Times New Roman" w:hAnsi="Times New Roman" w:cs="Times New Roman"/>
          <w:sz w:val="20"/>
          <w:szCs w:val="20"/>
        </w:rPr>
      </w:pPr>
    </w:p>
    <w:p w:rsidR="00FA7428" w:rsidRDefault="00FA7428" w:rsidP="00327A17">
      <w:pPr>
        <w:pStyle w:val="Standard"/>
        <w:spacing w:line="280" w:lineRule="exact"/>
        <w:rPr>
          <w:rFonts w:ascii="Times New Roman" w:hAnsi="Times New Roman" w:cs="Times New Roman"/>
          <w:sz w:val="20"/>
          <w:szCs w:val="20"/>
        </w:rPr>
      </w:pPr>
    </w:p>
    <w:p w:rsidR="00FA7428" w:rsidRPr="00327A17" w:rsidRDefault="00FA7428" w:rsidP="00327A17">
      <w:pPr>
        <w:pStyle w:val="Standard"/>
        <w:spacing w:line="280" w:lineRule="exact"/>
        <w:rPr>
          <w:rFonts w:ascii="Times New Roman" w:hAnsi="Times New Roman" w:cs="Times New Roman"/>
          <w:sz w:val="20"/>
          <w:szCs w:val="20"/>
        </w:rPr>
      </w:pPr>
    </w:p>
    <w:p w:rsidR="00327A17" w:rsidRPr="00D44204" w:rsidRDefault="00327A17" w:rsidP="00D44204">
      <w:pPr>
        <w:pStyle w:val="Standard"/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44204">
        <w:rPr>
          <w:rFonts w:ascii="Times New Roman" w:hAnsi="Times New Roman" w:cs="Times New Roman"/>
          <w:b/>
          <w:sz w:val="20"/>
          <w:szCs w:val="20"/>
        </w:rPr>
        <w:lastRenderedPageBreak/>
        <w:t xml:space="preserve">Poz. 2 - </w:t>
      </w:r>
      <w:proofErr w:type="spellStart"/>
      <w:r w:rsidRPr="00D44204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>Holter</w:t>
      </w:r>
      <w:proofErr w:type="spellEnd"/>
      <w:r w:rsidRPr="00D44204"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  <w:t xml:space="preserve"> RR (4 szt.)</w:t>
      </w:r>
    </w:p>
    <w:p w:rsidR="00327A17" w:rsidRPr="00327A17" w:rsidRDefault="00327A17" w:rsidP="00327A17">
      <w:pPr>
        <w:pStyle w:val="Standard"/>
        <w:spacing w:line="280" w:lineRule="exact"/>
        <w:rPr>
          <w:rFonts w:ascii="Times New Roman" w:hAnsi="Times New Roman" w:cs="Times New Roman"/>
          <w:sz w:val="20"/>
          <w:szCs w:val="20"/>
        </w:rPr>
      </w:pPr>
    </w:p>
    <w:tbl>
      <w:tblPr>
        <w:tblW w:w="149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5394"/>
        <w:gridCol w:w="2551"/>
        <w:gridCol w:w="6206"/>
      </w:tblGrid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tabs>
                <w:tab w:val="left" w:pos="360"/>
              </w:tabs>
              <w:spacing w:line="28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Parametr oferowany: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należy opisać/ podać</w:t>
            </w: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tabs>
                <w:tab w:val="left" w:pos="360"/>
              </w:tabs>
              <w:spacing w:line="28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w:rsidR="00327A17" w:rsidRPr="00327A17" w:rsidTr="00E10200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327A1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Holter</w:t>
            </w:r>
            <w:proofErr w:type="spellEnd"/>
            <w:r w:rsidRPr="00327A1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RR 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</w:rPr>
              <w:t>Oferowany typ/model:……………………………………………………………………..</w:t>
            </w:r>
            <w:r w:rsidRPr="00327A1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Producent:……………………………………………………………………………….....</w:t>
            </w:r>
          </w:p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</w:rPr>
              <w:t>Rok produkcji: ……………………………………………………………………………… ( nie starszy niż 2025r.)</w:t>
            </w:r>
          </w:p>
        </w:tc>
      </w:tr>
      <w:tr w:rsidR="00327A17" w:rsidRPr="00327A17" w:rsidTr="00E10200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4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Wymiary rejestratora: 90 x 36 x 93 mm    (+/- 5mm)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Zakres mierzonego ciśnienia co najmniej: 0 do 300 mm Hg /względem ciśnienia atmosferycznego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Pomiar i rejestracja ciśnienia skurczowego, rozkurczowego, średniego krwi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Pomiar na żądanie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Zasilanie: 2x AA baterie lub akumulatory lub port USB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Wewnętrzny zegar czasu rzeczywistego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Pomiar częstości rytmu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Możliwość podziału doby na min. 6 podokresów pomiarowych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paragraph"/>
              <w:spacing w:before="0" w:after="0"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Pamięć: min. 1000 badań</w:t>
            </w:r>
          </w:p>
          <w:p w:rsidR="00FA7428" w:rsidRPr="00327A17" w:rsidRDefault="00FA7428" w:rsidP="00327A17">
            <w:pPr>
              <w:pStyle w:val="paragraph"/>
              <w:spacing w:before="0" w:after="0"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Harmonogram rejestracji pomiarów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Definicja aktywności/ snu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Tryb pracy: dorosły i pediatryczny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Funkcja testu manometru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Funkcja testu szczelności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Czytelny interfejs użytkownika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Pomiar ciśnienia tętniczego krwi metodą oscylometryczną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Pomiar i rejestracja ciśnienia skurczowego, rozkurczowego, średniego krwi oraz częstotliwości rytmu serca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Analiza wyników obejmująca statystyki: Max., Min., zakres, UQ, LQ, Mediana, Średnie, SD dla ciśnienia skurczowego, rozkurczowego, średniego oraz częstości rytmu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Rozpoczęcie rejestracji poza systemem komputerowym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Graficzna i tabelaryczna prezentacja wyników pomiarów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Możliwość podglądu archiwalnego badania przypisanego do pacjenta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W zestawie:  mankiet, przewód ciśnieniowy, łącznik mankietu i przewodu ciśnieniowego, torba na rejestrator z pasem, baterie alkaliczne LR6 (AA) – 2 szt., futerał dla pacjenta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27A17" w:rsidRPr="00327A17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Pr="00327A17" w:rsidRDefault="00327A17" w:rsidP="00327A17">
            <w:pPr>
              <w:pStyle w:val="Standard"/>
              <w:numPr>
                <w:ilvl w:val="0"/>
                <w:numId w:val="2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27A17" w:rsidRDefault="00327A17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17">
              <w:rPr>
                <w:rFonts w:ascii="Times New Roman" w:hAnsi="Times New Roman" w:cs="Times New Roman"/>
                <w:sz w:val="20"/>
                <w:szCs w:val="20"/>
              </w:rPr>
              <w:t>Instrukcja użytkowania rejestratora w języku polskim</w:t>
            </w:r>
          </w:p>
          <w:p w:rsidR="00FA7428" w:rsidRPr="00327A17" w:rsidRDefault="00FA7428" w:rsidP="00327A17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27A1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27A17" w:rsidRPr="00327A17" w:rsidRDefault="00327A17" w:rsidP="00327A17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327A17" w:rsidRPr="00327A17" w:rsidRDefault="00327A17" w:rsidP="00327A17">
      <w:pPr>
        <w:pStyle w:val="Standard"/>
        <w:spacing w:line="280" w:lineRule="exact"/>
        <w:rPr>
          <w:rFonts w:ascii="Times New Roman" w:hAnsi="Times New Roman" w:cs="Times New Roman"/>
          <w:b/>
          <w:sz w:val="20"/>
          <w:szCs w:val="20"/>
        </w:rPr>
      </w:pPr>
    </w:p>
    <w:p w:rsidR="00886B3F" w:rsidRPr="00327A17" w:rsidRDefault="00886B3F" w:rsidP="00327A17">
      <w:pPr>
        <w:spacing w:line="280" w:lineRule="exact"/>
        <w:rPr>
          <w:rFonts w:ascii="Times New Roman" w:hAnsi="Times New Roman" w:cs="Times New Roman"/>
          <w:sz w:val="20"/>
          <w:szCs w:val="20"/>
        </w:rPr>
      </w:pPr>
    </w:p>
    <w:p w:rsidR="0063640E" w:rsidRPr="0063640E" w:rsidRDefault="0063640E" w:rsidP="0063640E">
      <w:pPr>
        <w:autoSpaceDE w:val="0"/>
        <w:adjustRightInd w:val="0"/>
        <w:ind w:left="-284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63640E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Wykonawca gwarantuje niniejszym, że powyżej wyspecyfikowane urządzenie jest zgodne z wymogami SWZ, sprzęt jest fabrycznie nowy, nieużywany, kompletny, i do jego stosowania zgodnie z przeznaczeniem nie jest konieczny zakup dodatkowych elementów i akcesoriów.            </w:t>
      </w:r>
    </w:p>
    <w:p w:rsidR="00D44204" w:rsidRPr="0063640E" w:rsidRDefault="00D44204" w:rsidP="00D44204">
      <w:pPr>
        <w:pStyle w:val="Standard"/>
        <w:autoSpaceDE w:val="0"/>
        <w:spacing w:line="28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327A17" w:rsidRPr="00327A17" w:rsidRDefault="00327A17" w:rsidP="00327A17">
      <w:pPr>
        <w:spacing w:line="280" w:lineRule="exact"/>
        <w:rPr>
          <w:rFonts w:ascii="Times New Roman" w:hAnsi="Times New Roman" w:cs="Times New Roman"/>
          <w:sz w:val="20"/>
          <w:szCs w:val="20"/>
        </w:rPr>
      </w:pPr>
    </w:p>
    <w:sectPr w:rsidR="00327A17" w:rsidRPr="00327A17" w:rsidSect="00327A17"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C28" w:rsidRDefault="00133C28" w:rsidP="00D44204">
      <w:r>
        <w:separator/>
      </w:r>
    </w:p>
  </w:endnote>
  <w:endnote w:type="continuationSeparator" w:id="0">
    <w:p w:rsidR="00133C28" w:rsidRDefault="00133C28" w:rsidP="00D44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0959811"/>
      <w:docPartObj>
        <w:docPartGallery w:val="Page Numbers (Bottom of Page)"/>
        <w:docPartUnique/>
      </w:docPartObj>
    </w:sdtPr>
    <w:sdtEndPr/>
    <w:sdtContent>
      <w:p w:rsidR="00D44204" w:rsidRDefault="00D4420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1CD">
          <w:rPr>
            <w:noProof/>
          </w:rPr>
          <w:t>2</w:t>
        </w:r>
        <w:r>
          <w:fldChar w:fldCharType="end"/>
        </w:r>
      </w:p>
    </w:sdtContent>
  </w:sdt>
  <w:p w:rsidR="00D44204" w:rsidRDefault="00D4420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C28" w:rsidRDefault="00133C28" w:rsidP="00D44204">
      <w:r>
        <w:separator/>
      </w:r>
    </w:p>
  </w:footnote>
  <w:footnote w:type="continuationSeparator" w:id="0">
    <w:p w:rsidR="00133C28" w:rsidRDefault="00133C28" w:rsidP="00D44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302F0"/>
    <w:multiLevelType w:val="multilevel"/>
    <w:tmpl w:val="CE9480CC"/>
    <w:styleLink w:val="WWNum23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43426FFE"/>
    <w:multiLevelType w:val="multilevel"/>
    <w:tmpl w:val="66AA03D4"/>
    <w:styleLink w:val="WWNum24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F2"/>
    <w:rsid w:val="00133C28"/>
    <w:rsid w:val="00327A17"/>
    <w:rsid w:val="0063640E"/>
    <w:rsid w:val="0085110A"/>
    <w:rsid w:val="00886B3F"/>
    <w:rsid w:val="00B54BF2"/>
    <w:rsid w:val="00D44204"/>
    <w:rsid w:val="00D667EC"/>
    <w:rsid w:val="00D70542"/>
    <w:rsid w:val="00E26755"/>
    <w:rsid w:val="00F741CD"/>
    <w:rsid w:val="00FA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327A17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27A17"/>
    <w:pPr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customStyle="1" w:styleId="paragraph">
    <w:name w:val="paragraph"/>
    <w:basedOn w:val="Standard"/>
    <w:rsid w:val="00327A17"/>
    <w:pPr>
      <w:spacing w:before="28" w:after="28"/>
    </w:pPr>
  </w:style>
  <w:style w:type="numbering" w:customStyle="1" w:styleId="WWNum23">
    <w:name w:val="WWNum23"/>
    <w:basedOn w:val="Bezlisty"/>
    <w:rsid w:val="00327A17"/>
    <w:pPr>
      <w:numPr>
        <w:numId w:val="1"/>
      </w:numPr>
    </w:pPr>
  </w:style>
  <w:style w:type="numbering" w:customStyle="1" w:styleId="WWNum24">
    <w:name w:val="WWNum24"/>
    <w:basedOn w:val="Bezlisty"/>
    <w:rsid w:val="00327A17"/>
    <w:pPr>
      <w:numPr>
        <w:numId w:val="2"/>
      </w:numPr>
    </w:pPr>
  </w:style>
  <w:style w:type="paragraph" w:styleId="NormalnyWeb">
    <w:name w:val="Normal (Web)"/>
    <w:basedOn w:val="Normalny"/>
    <w:link w:val="NormalnyWebZnak"/>
    <w:uiPriority w:val="99"/>
    <w:qFormat/>
    <w:rsid w:val="00327A17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327A1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7A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7A17"/>
    <w:rPr>
      <w:rFonts w:ascii="Tahoma" w:eastAsia="SimSun" w:hAnsi="Tahoma" w:cs="Tahoma"/>
      <w:kern w:val="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442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4204"/>
    <w:rPr>
      <w:rFonts w:ascii="Calibri" w:eastAsia="SimSun" w:hAnsi="Calibri" w:cs="Calibri"/>
      <w:kern w:val="3"/>
    </w:rPr>
  </w:style>
  <w:style w:type="paragraph" w:styleId="Stopka">
    <w:name w:val="footer"/>
    <w:basedOn w:val="Normalny"/>
    <w:link w:val="StopkaZnak"/>
    <w:uiPriority w:val="99"/>
    <w:unhideWhenUsed/>
    <w:rsid w:val="00D442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4204"/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327A17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27A17"/>
    <w:pPr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customStyle="1" w:styleId="paragraph">
    <w:name w:val="paragraph"/>
    <w:basedOn w:val="Standard"/>
    <w:rsid w:val="00327A17"/>
    <w:pPr>
      <w:spacing w:before="28" w:after="28"/>
    </w:pPr>
  </w:style>
  <w:style w:type="numbering" w:customStyle="1" w:styleId="WWNum23">
    <w:name w:val="WWNum23"/>
    <w:basedOn w:val="Bezlisty"/>
    <w:rsid w:val="00327A17"/>
    <w:pPr>
      <w:numPr>
        <w:numId w:val="1"/>
      </w:numPr>
    </w:pPr>
  </w:style>
  <w:style w:type="numbering" w:customStyle="1" w:styleId="WWNum24">
    <w:name w:val="WWNum24"/>
    <w:basedOn w:val="Bezlisty"/>
    <w:rsid w:val="00327A17"/>
    <w:pPr>
      <w:numPr>
        <w:numId w:val="2"/>
      </w:numPr>
    </w:pPr>
  </w:style>
  <w:style w:type="paragraph" w:styleId="NormalnyWeb">
    <w:name w:val="Normal (Web)"/>
    <w:basedOn w:val="Normalny"/>
    <w:link w:val="NormalnyWebZnak"/>
    <w:uiPriority w:val="99"/>
    <w:qFormat/>
    <w:rsid w:val="00327A17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327A1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7A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7A17"/>
    <w:rPr>
      <w:rFonts w:ascii="Tahoma" w:eastAsia="SimSun" w:hAnsi="Tahoma" w:cs="Tahoma"/>
      <w:kern w:val="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442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4204"/>
    <w:rPr>
      <w:rFonts w:ascii="Calibri" w:eastAsia="SimSun" w:hAnsi="Calibri" w:cs="Calibri"/>
      <w:kern w:val="3"/>
    </w:rPr>
  </w:style>
  <w:style w:type="paragraph" w:styleId="Stopka">
    <w:name w:val="footer"/>
    <w:basedOn w:val="Normalny"/>
    <w:link w:val="StopkaZnak"/>
    <w:uiPriority w:val="99"/>
    <w:unhideWhenUsed/>
    <w:rsid w:val="00D442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4204"/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974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rrurarz</dc:creator>
  <cp:keywords/>
  <dc:description/>
  <cp:lastModifiedBy>rrurarz</cp:lastModifiedBy>
  <cp:revision>7</cp:revision>
  <dcterms:created xsi:type="dcterms:W3CDTF">2026-03-04T08:05:00Z</dcterms:created>
  <dcterms:modified xsi:type="dcterms:W3CDTF">2026-03-09T07:48:00Z</dcterms:modified>
</cp:coreProperties>
</file>